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8F" w:rsidRDefault="0092208F" w:rsidP="0092208F">
      <w:pPr>
        <w:spacing w:line="520" w:lineRule="exact"/>
        <w:rPr>
          <w:rFonts w:ascii="Times New Roman" w:eastAsia="仿宋_GB2312" w:hAnsi="Times New Roman" w:hint="eastAsia"/>
          <w:color w:val="000000"/>
          <w:sz w:val="30"/>
        </w:rPr>
      </w:pPr>
      <w:r>
        <w:rPr>
          <w:rFonts w:ascii="Times New Roman" w:eastAsia="仿宋_GB2312" w:hAnsi="Times New Roman" w:hint="eastAsia"/>
          <w:color w:val="000000"/>
          <w:sz w:val="30"/>
          <w:szCs w:val="30"/>
        </w:rPr>
        <w:t>附件</w:t>
      </w:r>
      <w:r>
        <w:rPr>
          <w:rFonts w:ascii="Times New Roman" w:eastAsia="仿宋_GB2312" w:hAnsi="Times New Roman" w:hint="eastAsia"/>
          <w:color w:val="000000"/>
          <w:sz w:val="30"/>
        </w:rPr>
        <w:t>2</w:t>
      </w:r>
    </w:p>
    <w:p w:rsidR="0092208F" w:rsidRDefault="0092208F" w:rsidP="0092208F">
      <w:pPr>
        <w:spacing w:line="520" w:lineRule="exact"/>
        <w:jc w:val="center"/>
        <w:rPr>
          <w:rFonts w:ascii="黑体" w:eastAsia="黑体" w:hAnsi="Times New Roman" w:hint="eastAsia"/>
          <w:color w:val="000000"/>
          <w:sz w:val="36"/>
          <w:szCs w:val="36"/>
        </w:rPr>
      </w:pPr>
    </w:p>
    <w:p w:rsidR="0092208F" w:rsidRDefault="0092208F" w:rsidP="0092208F">
      <w:pPr>
        <w:spacing w:line="520" w:lineRule="exact"/>
        <w:jc w:val="center"/>
        <w:rPr>
          <w:rFonts w:ascii="黑体" w:eastAsia="黑体" w:hAnsi="Times New Roman" w:hint="eastAsia"/>
          <w:color w:val="000000"/>
          <w:sz w:val="36"/>
          <w:szCs w:val="36"/>
        </w:rPr>
      </w:pPr>
      <w:r w:rsidRPr="00B5482B">
        <w:rPr>
          <w:rFonts w:ascii="黑体" w:eastAsia="黑体" w:hAnsi="Times New Roman" w:hint="eastAsia"/>
          <w:color w:val="000000"/>
          <w:sz w:val="36"/>
          <w:szCs w:val="36"/>
        </w:rPr>
        <w:t>最高人民法院2017年度司法研究</w:t>
      </w:r>
    </w:p>
    <w:p w:rsidR="0092208F" w:rsidRPr="00B5482B" w:rsidRDefault="0092208F" w:rsidP="0092208F">
      <w:pPr>
        <w:spacing w:line="520" w:lineRule="exact"/>
        <w:jc w:val="center"/>
        <w:rPr>
          <w:rFonts w:ascii="黑体" w:eastAsia="黑体" w:hAnsi="Times New Roman" w:hint="eastAsia"/>
          <w:color w:val="000000"/>
          <w:sz w:val="36"/>
          <w:szCs w:val="36"/>
        </w:rPr>
      </w:pPr>
      <w:r w:rsidRPr="00B5482B">
        <w:rPr>
          <w:rFonts w:ascii="黑体" w:eastAsia="黑体" w:hAnsi="Times New Roman" w:hint="eastAsia"/>
          <w:color w:val="000000"/>
          <w:sz w:val="36"/>
          <w:szCs w:val="36"/>
        </w:rPr>
        <w:t>重大课题选题</w:t>
      </w:r>
      <w:r>
        <w:rPr>
          <w:rFonts w:ascii="黑体" w:eastAsia="黑体" w:hAnsi="Times New Roman" w:hint="eastAsia"/>
          <w:color w:val="000000"/>
          <w:sz w:val="36"/>
          <w:szCs w:val="36"/>
        </w:rPr>
        <w:t>目录</w:t>
      </w:r>
    </w:p>
    <w:p w:rsidR="0092208F" w:rsidRDefault="0092208F" w:rsidP="0092208F">
      <w:pPr>
        <w:ind w:firstLineChars="200" w:firstLine="600"/>
        <w:rPr>
          <w:rFonts w:ascii="Times New Roman" w:eastAsia="仿宋_GB2312" w:hAnsi="Times New Roman" w:hint="eastAsia"/>
          <w:color w:val="000000"/>
          <w:sz w:val="30"/>
          <w:szCs w:val="30"/>
        </w:rPr>
      </w:pP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司法责任制理论与实践研究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法官员额动态调整机制研究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构建新型审判团队研究</w:t>
      </w:r>
    </w:p>
    <w:p w:rsidR="0092208F" w:rsidRPr="00F34FE0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4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司法辅助人员配置研究</w:t>
      </w:r>
    </w:p>
    <w:p w:rsidR="0092208F" w:rsidRPr="00E10D23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E10D23">
        <w:rPr>
          <w:rFonts w:ascii="Times New Roman" w:eastAsia="仿宋_GB2312" w:hAnsi="Times New Roman"/>
          <w:color w:val="000000"/>
          <w:sz w:val="30"/>
          <w:szCs w:val="30"/>
        </w:rPr>
        <w:t>5</w:t>
      </w:r>
      <w:r w:rsidRPr="00E10D23"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E10D23">
        <w:rPr>
          <w:rFonts w:ascii="Times New Roman" w:eastAsia="仿宋_GB2312" w:hAnsi="Times New Roman" w:hint="eastAsia"/>
          <w:color w:val="000000"/>
          <w:sz w:val="30"/>
          <w:szCs w:val="30"/>
        </w:rPr>
        <w:t>国家赔偿追偿追责问题研究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6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审判绩效考核</w:t>
      </w:r>
      <w:r>
        <w:rPr>
          <w:rFonts w:ascii="Times New Roman" w:eastAsia="仿宋_GB2312" w:hAnsi="Times New Roman"/>
          <w:color w:val="000000"/>
          <w:sz w:val="30"/>
          <w:szCs w:val="30"/>
        </w:rPr>
        <w:t>与管理问题研究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社会关注案件的应对处置及风险防范研究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案件繁简分流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的法律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标准研究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9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农村集体土地征收补偿法律制度研究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10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proofErr w:type="gramStart"/>
      <w:r w:rsidRPr="00FD27E4">
        <w:rPr>
          <w:rFonts w:ascii="Times New Roman" w:eastAsia="仿宋_GB2312" w:hAnsi="Times New Roman"/>
          <w:color w:val="000000"/>
          <w:sz w:val="30"/>
          <w:szCs w:val="30"/>
        </w:rPr>
        <w:t>众筹融资</w:t>
      </w:r>
      <w:proofErr w:type="gramEnd"/>
      <w:r w:rsidRPr="00FD27E4">
        <w:rPr>
          <w:rFonts w:ascii="Times New Roman" w:eastAsia="仿宋_GB2312" w:hAnsi="Times New Roman"/>
          <w:color w:val="000000"/>
          <w:sz w:val="30"/>
          <w:szCs w:val="30"/>
        </w:rPr>
        <w:t>法律问题研究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11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公司担保法律问题研究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12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新形态创新成果的知识产权保护研究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13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一带一路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国际争端解决机制研究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14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大气污染纠纷法律问题研究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15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行政规范性文件的附带审查研究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16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行政诉讼一并审理民事争议研究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17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执行程序与破产程序衔接制度研究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18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 w:rsidRPr="00FD27E4">
        <w:rPr>
          <w:rFonts w:ascii="Times New Roman" w:eastAsia="仿宋_GB2312" w:hAnsi="Times New Roman"/>
          <w:color w:val="000000"/>
          <w:sz w:val="30"/>
          <w:szCs w:val="30"/>
        </w:rPr>
        <w:t>罪责相当原则适用疑难问题研究</w:t>
      </w:r>
    </w:p>
    <w:p w:rsidR="0092208F" w:rsidRPr="00FD27E4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lastRenderedPageBreak/>
        <w:t>19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proofErr w:type="gramStart"/>
      <w:r w:rsidRPr="00FD27E4">
        <w:rPr>
          <w:rFonts w:ascii="Times New Roman" w:eastAsia="仿宋_GB2312" w:hAnsi="Times New Roman"/>
          <w:bCs/>
          <w:kern w:val="0"/>
          <w:sz w:val="30"/>
          <w:szCs w:val="30"/>
        </w:rPr>
        <w:t>正当防卫类案案例</w:t>
      </w:r>
      <w:proofErr w:type="gramEnd"/>
      <w:r w:rsidRPr="00FD27E4">
        <w:rPr>
          <w:rFonts w:ascii="Times New Roman" w:eastAsia="仿宋_GB2312" w:hAnsi="Times New Roman"/>
          <w:bCs/>
          <w:kern w:val="0"/>
          <w:sz w:val="30"/>
          <w:szCs w:val="30"/>
        </w:rPr>
        <w:t>研究</w:t>
      </w:r>
    </w:p>
    <w:p w:rsidR="0092208F" w:rsidRDefault="0092208F" w:rsidP="0092208F">
      <w:pPr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FD27E4">
        <w:rPr>
          <w:rFonts w:ascii="Times New Roman" w:eastAsia="仿宋_GB2312" w:hAnsi="Times New Roman"/>
          <w:color w:val="000000"/>
          <w:sz w:val="30"/>
          <w:szCs w:val="30"/>
        </w:rPr>
        <w:t>20</w:t>
      </w:r>
      <w:r>
        <w:rPr>
          <w:rFonts w:ascii="Times New Roman" w:eastAsia="仿宋_GB2312" w:hAnsi="Times New Roman" w:hint="eastAsia"/>
          <w:color w:val="000000"/>
          <w:sz w:val="30"/>
          <w:szCs w:val="30"/>
        </w:rPr>
        <w:t>.</w:t>
      </w:r>
      <w:r>
        <w:rPr>
          <w:rFonts w:ascii="Times New Roman" w:eastAsia="仿宋_GB2312" w:hAnsi="Times New Roman"/>
          <w:color w:val="000000"/>
          <w:sz w:val="30"/>
          <w:szCs w:val="30"/>
        </w:rPr>
        <w:t>煽动民族仇恨、民族歧视罪研究</w:t>
      </w:r>
    </w:p>
    <w:p w:rsidR="002F4AC3" w:rsidRPr="0092208F" w:rsidRDefault="002F4AC3"/>
    <w:sectPr w:rsidR="002F4AC3" w:rsidRPr="0092208F" w:rsidSect="002F4A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208F"/>
    <w:rsid w:val="002F4AC3"/>
    <w:rsid w:val="00922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0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BJB-night</dc:creator>
  <cp:lastModifiedBy>BJB-night</cp:lastModifiedBy>
  <cp:revision>1</cp:revision>
  <dcterms:created xsi:type="dcterms:W3CDTF">2017-07-09T12:27:00Z</dcterms:created>
  <dcterms:modified xsi:type="dcterms:W3CDTF">2017-07-09T12:28:00Z</dcterms:modified>
</cp:coreProperties>
</file>