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88C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仿宋" w:hAnsi="仿宋" w:eastAsia="仿宋" w:cs="仿宋"/>
          <w:i w:val="0"/>
          <w:iCs w:val="0"/>
          <w:caps w:val="0"/>
          <w:color w:val="4B4B4B"/>
          <w:spacing w:val="0"/>
          <w:sz w:val="32"/>
          <w:szCs w:val="32"/>
        </w:rPr>
      </w:pPr>
      <w:r>
        <w:rPr>
          <w:rFonts w:hint="eastAsia" w:ascii="方正小标宋简体" w:hAnsi="方正小标宋简体" w:eastAsia="方正小标宋简体" w:cs="方正小标宋简体"/>
          <w:b w:val="0"/>
          <w:bCs w:val="0"/>
          <w:i w:val="0"/>
          <w:iCs w:val="0"/>
          <w:caps w:val="0"/>
          <w:color w:val="4B4B4B"/>
          <w:spacing w:val="0"/>
          <w:sz w:val="44"/>
          <w:szCs w:val="44"/>
          <w:shd w:val="clear" w:fill="FFFFFF"/>
        </w:rPr>
        <w:t>教育部 财政部关于加强中央部门所属高校科研经费管理的意见</w:t>
      </w:r>
    </w:p>
    <w:p w14:paraId="6676C2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jc w:val="right"/>
        <w:textAlignment w:val="auto"/>
        <w:rPr>
          <w:rFonts w:hint="eastAsia" w:ascii="仿宋" w:hAnsi="仿宋" w:eastAsia="仿宋" w:cs="仿宋"/>
          <w:i w:val="0"/>
          <w:iCs w:val="0"/>
          <w:caps w:val="0"/>
          <w:color w:val="4B4B4B"/>
          <w:spacing w:val="0"/>
          <w:sz w:val="32"/>
          <w:szCs w:val="32"/>
          <w:shd w:val="clear" w:fill="FFFFFF"/>
        </w:rPr>
      </w:pPr>
    </w:p>
    <w:p w14:paraId="51A94C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jc w:val="center"/>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教财〔2012〕7号</w:t>
      </w:r>
    </w:p>
    <w:p w14:paraId="6D74B2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shd w:val="clear" w:fill="FFFFFF"/>
        </w:rPr>
      </w:pPr>
    </w:p>
    <w:p w14:paraId="0A65E2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各省、自治区、直辖市教育厅（教委）、财政厅（局），新疆生产建设兵团教育局、财务局，有关部门（单位）教育司（局）、财务司（局），中央部门所属各高等学校：</w:t>
      </w:r>
    </w:p>
    <w:p w14:paraId="22B4E8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为贯彻落实《国家中长期科学和技术发展规划纲要（2006—2020年）》和《国家中长期教育改革和发展规划纲要（2010—2020年）》，建立健全符合科研活动规律的中央高校内部科研经费管理体制和运行机制，提升科研经费管理服务水平，提高资金使用效益，促进科研事业健康发展，现提出如下意见。</w:t>
      </w:r>
    </w:p>
    <w:p w14:paraId="3B7E98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Style w:val="6"/>
          <w:rFonts w:hint="eastAsia" w:ascii="仿宋" w:hAnsi="仿宋" w:eastAsia="仿宋" w:cs="仿宋"/>
          <w:i w:val="0"/>
          <w:iCs w:val="0"/>
          <w:caps w:val="0"/>
          <w:color w:val="4B4B4B"/>
          <w:spacing w:val="0"/>
          <w:sz w:val="32"/>
          <w:szCs w:val="32"/>
          <w:shd w:val="clear" w:fill="FFFFFF"/>
        </w:rPr>
        <w:t>一、明确责任主体，建立分级管理体制</w:t>
      </w:r>
    </w:p>
    <w:p w14:paraId="61FC81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1.强化学校主体责任。学校是科研经费管理的责任主体，校（院）长对学校科研经费管理承担领导责任。学校要建立健全“统一领导、分级管理、责任到人”的科研经费管理体制，合理确定科研、财务、人事、资产（设备）、审计、监察等部门的职责和权限，完善内部控制和监督约束机制，确保经费使用权、管理权和监督权的有效行使。</w:t>
      </w:r>
    </w:p>
    <w:p w14:paraId="721D53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2.明确院系监管责任。学院、系、所和国家认定的校内各类研究机构（简称院系），是科研活动的基层管理单位，对本单位科研经费使用承担监管责任。院系要根据学科特点和项目（含课题，下同）实际需要,合理配置资源，为科研项目执行提供条件保障；要监督预算执行，督促项目进度。学校要将科研经费管理绩效纳入院系负责人的业绩考核范围。</w:t>
      </w:r>
    </w:p>
    <w:p w14:paraId="499F61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3.落实项目负责人直接责任。科研项目负责人是科研经费使用的直接责任人，对经费使用的合规性、合理性、真实性和相关性承担法律责任。项目负责人要熟悉并掌握有关财经法律法规和科研经费管理制度，依法、据实编制科研项目预算和决算，按照批复预算和合同（任务书）使用经费，接受上级和学校相关部门的监督检查。</w:t>
      </w:r>
    </w:p>
    <w:p w14:paraId="66B747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Style w:val="6"/>
          <w:rFonts w:hint="eastAsia" w:ascii="仿宋" w:hAnsi="仿宋" w:eastAsia="仿宋" w:cs="仿宋"/>
          <w:i w:val="0"/>
          <w:iCs w:val="0"/>
          <w:caps w:val="0"/>
          <w:color w:val="4B4B4B"/>
          <w:spacing w:val="0"/>
          <w:sz w:val="32"/>
          <w:szCs w:val="32"/>
          <w:shd w:val="clear" w:fill="FFFFFF"/>
        </w:rPr>
        <w:t>二、完善工作机制，提升管理服务能力</w:t>
      </w:r>
    </w:p>
    <w:p w14:paraId="39638A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4.设立专门机构。科研管理任务重、科研经费规模大的学校，可以在财务部门或科研部门内部统一设置科研经费管理服务机构。科研经费管理服务机构负责协助、指导项目申请人合理编制经费预算,对已批复或签订合同（任务书）的项目提供从到款通知到具体项目经费分配、预算执行进度通报、经费使用建议、预算调整、决算编制、外部沟通协调等全过程服务,会同学校有关部门做好政策咨询、业务培训、科研合同管理、技术市场登记、税费减免等相关工作。</w:t>
      </w:r>
    </w:p>
    <w:p w14:paraId="609E29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5.建设专业化队伍。学校要根据实际需要，配备专业的财务、科研管理人员，充实科研经费管理服务力量。建立科研经费管理服务人员业务培训制度，提升管理服务的专业化水平；引导院系和有条件的项目负责人根据需要聘用科研秘书，协助完成项目经费预算执行过程中的相关工作。学校财务部门要会同科研管理部门加强对项目负责人和科研秘书等人员的政策宣传和业务培训，强化遵纪守法、廉洁自律意识。</w:t>
      </w:r>
    </w:p>
    <w:p w14:paraId="685D46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6.完善科研信息系统。学校要统筹规划，整合现有信息资源，完善系统功能，建立校内科研、财务等部门和院系、项目负责人共享的信息平台，实现科研项目从申报、评审、立项、执行到验收的全过程数字化管理与服务，提高管理水平，提升服务质量。</w:t>
      </w:r>
    </w:p>
    <w:p w14:paraId="7C0343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Style w:val="6"/>
          <w:rFonts w:hint="eastAsia" w:ascii="仿宋" w:hAnsi="仿宋" w:eastAsia="仿宋" w:cs="仿宋"/>
          <w:i w:val="0"/>
          <w:iCs w:val="0"/>
          <w:caps w:val="0"/>
          <w:color w:val="4B4B4B"/>
          <w:spacing w:val="0"/>
          <w:sz w:val="32"/>
          <w:szCs w:val="32"/>
          <w:shd w:val="clear" w:fill="FFFFFF"/>
        </w:rPr>
        <w:t>三、规范预算管理，提高预算编制质量</w:t>
      </w:r>
    </w:p>
    <w:p w14:paraId="04E109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7.科学编制项目预算。学校财务部门和院系要协助科研项目申请人根据有关科研经费管理办法的规定，结合科研活动的特点和实际需要，按照目标相关性、政策相符性和经济合理性的原则，科学、合理、真实地编制科研经费预算。坚持勤俭节约，合理安排支出，提高资金使用效益。涉及政府采购的，要严格按照政府采购相关规定和程序编制政府采购预算。相关科研经费管理办法规定科研项目经费分为直接费用和间接费用的，直接费用的各项支出由项目申请人根据科研特点和实际需要编制；间接费用按照归口管理部门和学校相关规定，由学校统一编制。</w:t>
      </w:r>
    </w:p>
    <w:p w14:paraId="0C9573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8.建立预算评审制度。学校可根据实际情况，组织校内相关职能部门、咨询专家或中介机构对本校拟申报的财政资金支持的相关科研项目进行预算评审，提出预算审核建议。项目负责人应当依据预算审核建议调整预算编制。涉及劳务费的，要考虑相关人员参与课题的全时工作时间及完成任务的可行性，合理核定劳务费开支范围和标准；涉及重大仪器设备、重要文本文献等资产购置的，要综合考虑学校现有相关资产存量及使用情况、区域内资源配置及共享情况，避免重复购置和闲置浪费；涉及外拨经费的，必须充分论证并严格审核合作（外协）单位和参与人员与科研项目的相关性以及关联交易的公允性。</w:t>
      </w:r>
    </w:p>
    <w:p w14:paraId="3A3267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9.规范预算调整程序。纵向科研项目预算一经批复，原则上不予调整，确需调整并符合相关科研经费管理办法规定调整范围的，应按规定履行相关调整程序；横向科研项目预算的调整按照合同规定或当事人约定进行。按规定属于学校预算调整权限内的一般预算调整事项，由项目负责人根据科研活动实际需要提出预算调整方案，经院系及学校科研部门审核同意，由财务部门批准后执行；重大预算调整事项，除履行上述一般预算调整程序外，还须经分管校领导批准后方可执行。</w:t>
      </w:r>
    </w:p>
    <w:p w14:paraId="3521BC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Style w:val="6"/>
          <w:rFonts w:hint="eastAsia" w:ascii="仿宋" w:hAnsi="仿宋" w:eastAsia="仿宋" w:cs="仿宋"/>
          <w:i w:val="0"/>
          <w:iCs w:val="0"/>
          <w:caps w:val="0"/>
          <w:color w:val="4B4B4B"/>
          <w:spacing w:val="0"/>
          <w:sz w:val="32"/>
          <w:szCs w:val="32"/>
          <w:shd w:val="clear" w:fill="FFFFFF"/>
        </w:rPr>
        <w:t>四、强化统一管理，严格科研经费支出</w:t>
      </w:r>
    </w:p>
    <w:p w14:paraId="19CE74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10.加强科研经费统一管理。纵向科研经费和横向科研经费应当全部纳入学校财务统一管理，按照相关科研经费管理办法、委托方或科研合同的要求合理使用。涉及国有资产（包括知识产权等无形资产）的使用和处置管理，应按国有资产管理相关规定办理手续，不得以任何方式隐匿、私自转让、非法占有国有资产或利用国有资产谋取私利。</w:t>
      </w:r>
    </w:p>
    <w:p w14:paraId="4F36B0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11.规范经费支出管理。学校要完善科研经费支出审核制度，严格票据审核，必要时应要求项目负责人提供明细单等有效证明，杜绝虚假票据；建立银行卡支付制度，依据有关规定发放给个人的劳务性费用，要严格审核发放人员资格、标准，一律通过个人银行卡发放，以零现金方式支付；严格执行国家政府采购制度的规定，购买货物、工程或服务的支出，必须通过法定的采购方式、采购方法和采购程序来进行。</w:t>
      </w:r>
    </w:p>
    <w:p w14:paraId="294CBA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12.严格外拨经费审核。科研项目的外拨经费支出应当以合作（外协）项目合同为依据，按照合同约定的外拨经费额度、拨付方式、开户银行和账号等条款办理。合作（外协）单位是公司、企业的，应提供收款单位法人营业执照、组织机构代码证、税务登记证、资质证书等相关资料；合作（外协）单位是高校、科研院所、社会团体等公益性组织的，应提供收款单位组织机构代码等相关资料。项目负责人应对合作（外协）业务的真实性、相关性负责。</w:t>
      </w:r>
    </w:p>
    <w:p w14:paraId="168475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13.严禁违规使用经费。学校科研人员应严格按照预算批复或合同（任务书）的支出范围和标准使用经费，严禁以任何方式挪用、侵占、骗取科研经费。严禁编造虚假合同、编制虚假预算；严禁违规将科研经费转拨、转移到利益相关的单位或个人；严禁购买与科研项目无关的设备、材料；严禁虚构经济业务、使用虚假票据套取科研经费；严禁在科研经费中报销个人家庭消费支出；严禁虚列、伪造名单，虚报冒领科研劳务性费用；严禁借科研协作之名，将科研经费挪作它用；严禁设立“小金库”。</w:t>
      </w:r>
    </w:p>
    <w:p w14:paraId="3A836E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Style w:val="6"/>
          <w:rFonts w:hint="eastAsia" w:ascii="仿宋" w:hAnsi="仿宋" w:eastAsia="仿宋" w:cs="仿宋"/>
          <w:i w:val="0"/>
          <w:iCs w:val="0"/>
          <w:caps w:val="0"/>
          <w:color w:val="4B4B4B"/>
          <w:spacing w:val="0"/>
          <w:sz w:val="32"/>
          <w:szCs w:val="32"/>
          <w:shd w:val="clear" w:fill="FFFFFF"/>
        </w:rPr>
        <w:t>五、健全管理机制，完善绩效管理办法</w:t>
      </w:r>
    </w:p>
    <w:p w14:paraId="20430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14.按规定加强间接费用管理。按照有关科研项目经费管理办法规定提取间接费用的，学校要合理确定项目间接费用标准，以直接提取方式将间接费用纳入学校财务统一管理，并结合实际制定间接费用分配及使用办法。间接费用按照有关规定用于补偿学校、院系为支持科研活动开展而发生的无法在直接费用中列支的相关费用。</w:t>
      </w:r>
    </w:p>
    <w:p w14:paraId="3B275C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15.完善校内科研绩效管理办法。学校要建立以高水平成果、高层次人才为导向的科研绩效评价体系。学校可按有关规定统筹利用科研经费间接费用中的绩效支出、中央高校绩效拨款、学校学费收入等经费渠道，在对科研工作进行绩效考核的基础上，结合科研人员实绩，建立健全鼓励创新、体现实绩的科研绩效管理机制。</w:t>
      </w:r>
    </w:p>
    <w:p w14:paraId="621BA5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Style w:val="6"/>
          <w:rFonts w:hint="eastAsia" w:ascii="仿宋" w:hAnsi="仿宋" w:eastAsia="仿宋" w:cs="仿宋"/>
          <w:i w:val="0"/>
          <w:iCs w:val="0"/>
          <w:caps w:val="0"/>
          <w:color w:val="4B4B4B"/>
          <w:spacing w:val="0"/>
          <w:sz w:val="32"/>
          <w:szCs w:val="32"/>
          <w:shd w:val="clear" w:fill="FFFFFF"/>
        </w:rPr>
        <w:t>六、加强监督检查，落实责任追究制度</w:t>
      </w:r>
    </w:p>
    <w:p w14:paraId="158A84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16.健全监督检查机制。健全包括审计、监察、财政、科技等部门，主管部门和社会中介机构在内的科研经费监督体系，建立科研项目的财务审计与财务验收制度。学校要将科研经费使用管理纳入内部审计部门的重点审计范围，对全部科研项目实施抽查审计，对重大、重点科研项目开展全过程跟踪审计。</w:t>
      </w:r>
    </w:p>
    <w:p w14:paraId="1EA2E5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17.推进财务信息公开。学校要建立非涉密项目信息公开和回访制度，在学校内部公开项目组人员构成、协作单位及人员组成、预算批复、预算调整、经费支出、外拨经费、资产购置等情况。探索建立科研项目经费支出明细、报销票据分级公开制度。实行科研经费审计报告公开，整改情况公开，处理结果公开。</w:t>
      </w:r>
    </w:p>
    <w:p w14:paraId="75722B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18.落实责任追究制度。有关部门和学校要将专项审计、中期财务检查、财务验收和绩效评价等结果作为项目申请和科研经费预算分配的重要依据。对发生违纪违法问题的单位和个人，按照《财政违法行为处罚处分条例》、《事业单位工作人员处分暂行规定》等规定进行严肃处理，依情节轻重给予行政处罚或处分。涉嫌犯罪的，依法移送司法机关追究刑事责任。</w:t>
      </w:r>
    </w:p>
    <w:p w14:paraId="48A917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eastAsia="zh-CN"/>
        </w:rPr>
        <w:t xml:space="preserve">    </w:t>
      </w:r>
      <w:r>
        <w:rPr>
          <w:rFonts w:hint="eastAsia" w:ascii="仿宋" w:hAnsi="仿宋" w:eastAsia="仿宋" w:cs="仿宋"/>
          <w:i w:val="0"/>
          <w:iCs w:val="0"/>
          <w:caps w:val="0"/>
          <w:color w:val="4B4B4B"/>
          <w:spacing w:val="0"/>
          <w:sz w:val="32"/>
          <w:szCs w:val="32"/>
          <w:shd w:val="clear" w:fill="FFFFFF"/>
        </w:rPr>
        <w:t>各地区可参照本意见精神，采取相应措施，加强地方所属普通高校科研经费管理。</w:t>
      </w:r>
    </w:p>
    <w:p w14:paraId="1D42CC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jc w:val="center"/>
        <w:textAlignment w:val="auto"/>
        <w:rPr>
          <w:rFonts w:hint="eastAsia" w:ascii="仿宋" w:hAnsi="仿宋" w:eastAsia="仿宋" w:cs="仿宋"/>
          <w:i w:val="0"/>
          <w:iCs w:val="0"/>
          <w:caps w:val="0"/>
          <w:color w:val="4B4B4B"/>
          <w:spacing w:val="0"/>
          <w:sz w:val="32"/>
          <w:szCs w:val="32"/>
          <w:shd w:val="clear" w:fill="FFFFFF"/>
        </w:rPr>
      </w:pPr>
    </w:p>
    <w:p w14:paraId="0A3E4E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jc w:val="center"/>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lang w:val="en-US" w:eastAsia="zh-CN"/>
        </w:rPr>
        <w:t xml:space="preserve">                                  </w:t>
      </w:r>
      <w:bookmarkStart w:id="0" w:name="_GoBack"/>
      <w:bookmarkEnd w:id="0"/>
      <w:r>
        <w:rPr>
          <w:rFonts w:hint="eastAsia" w:ascii="仿宋" w:hAnsi="仿宋" w:eastAsia="仿宋" w:cs="仿宋"/>
          <w:i w:val="0"/>
          <w:iCs w:val="0"/>
          <w:caps w:val="0"/>
          <w:color w:val="4B4B4B"/>
          <w:spacing w:val="0"/>
          <w:sz w:val="32"/>
          <w:szCs w:val="32"/>
          <w:shd w:val="clear" w:fill="FFFFFF"/>
        </w:rPr>
        <w:t>教育部</w:t>
      </w:r>
      <w:r>
        <w:rPr>
          <w:rFonts w:hint="eastAsia" w:ascii="仿宋" w:hAnsi="仿宋" w:eastAsia="仿宋" w:cs="仿宋"/>
          <w:i w:val="0"/>
          <w:iCs w:val="0"/>
          <w:caps w:val="0"/>
          <w:color w:val="4B4B4B"/>
          <w:spacing w:val="0"/>
          <w:sz w:val="32"/>
          <w:szCs w:val="32"/>
          <w:shd w:val="clear" w:fill="FFFFFF"/>
          <w:lang w:val="en-US" w:eastAsia="zh-CN"/>
        </w:rPr>
        <w:t xml:space="preserve"> </w:t>
      </w:r>
      <w:r>
        <w:rPr>
          <w:rFonts w:hint="eastAsia" w:ascii="仿宋" w:hAnsi="仿宋" w:eastAsia="仿宋" w:cs="仿宋"/>
          <w:i w:val="0"/>
          <w:iCs w:val="0"/>
          <w:caps w:val="0"/>
          <w:color w:val="4B4B4B"/>
          <w:spacing w:val="0"/>
          <w:sz w:val="32"/>
          <w:szCs w:val="32"/>
          <w:shd w:val="clear" w:fill="FFFFFF"/>
        </w:rPr>
        <w:t>财政部</w:t>
      </w:r>
    </w:p>
    <w:p w14:paraId="113EB5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auto"/>
        <w:ind w:left="0" w:right="0" w:firstLine="0"/>
        <w:jc w:val="right"/>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2012年12月17日</w:t>
      </w:r>
    </w:p>
    <w:p w14:paraId="50AC395E">
      <w:pPr>
        <w:keepNext w:val="0"/>
        <w:keepLines w:val="0"/>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0010101010101"/>
    <w:charset w:val="86"/>
    <w:family w:val="auto"/>
    <w:pitch w:val="default"/>
    <w:sig w:usb0="00000001" w:usb1="080E0000" w:usb2="00000000" w:usb3="00000000" w:csb0="00040000" w:csb1="00000000"/>
    <w:embedRegular r:id="rId1" w:fontKey="{A630F921-CD25-4AC1-AEDE-4FD3C6AD22EF}"/>
  </w:font>
  <w:font w:name="仿宋">
    <w:panose1 w:val="02010609060101010101"/>
    <w:charset w:val="86"/>
    <w:family w:val="auto"/>
    <w:pitch w:val="default"/>
    <w:sig w:usb0="800002BF" w:usb1="38CF7CFA" w:usb2="00000016" w:usb3="00000000" w:csb0="00040001" w:csb1="00000000"/>
    <w:embedRegular r:id="rId2" w:fontKey="{18479332-0652-4CCB-B393-4D52F4AAB806}"/>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汉仪中黑 197">
    <w:panose1 w:val="00020600040101010101"/>
    <w:charset w:val="86"/>
    <w:family w:val="auto"/>
    <w:pitch w:val="default"/>
    <w:sig w:usb0="A00002BF" w:usb1="18EF7CFA" w:usb2="00000016" w:usb3="00000000" w:csb0="000400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94234"/>
    <w:rsid w:val="3E8E5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3514</Words>
  <Characters>3561</Characters>
  <Lines>0</Lines>
  <Paragraphs>0</Paragraphs>
  <TotalTime>2</TotalTime>
  <ScaleCrop>false</ScaleCrop>
  <LinksUpToDate>false</LinksUpToDate>
  <CharactersWithSpaces>3701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2025-07-28T14:27:00Z</dcterms:created>
  <dc:creator>xmk316</dc:creator>
  <cp:lastModifiedBy>WS</cp:lastModifiedBy>
  <dcterms:modified xsi:type="dcterms:W3CDTF">2025-07-28T14:42:37Z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eyJoZGlkIjoiODViY2JkMjU3NGYzZTEwMzZmMGFkZWViYmNkYWU3NDIiLCJ1c2VySWQiOiIyMDczNzIzNTQifQ==</vt:lpwstr>
  </property>
  <property fmtid="{D5CDD505-2E9C-101B-9397-08002B2CF9AE}" pid="4" name="ICV">
    <vt:lpwstr>9419AD2FC1974AAA8492E4A1A1F8A75A_12</vt:lpwstr>
  </property>
</Properties>
</file>